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spacing w:lineRule="auto" w:line="312" w:before="360" w:after="288"/>
        <w:jc w:val="center"/>
        <w:rPr>
          <w:i w:val="false"/>
          <w:i w:val="false"/>
          <w:iCs w:val="false"/>
          <w:color w:val="000000"/>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eastAsia="Calibri" w:cs="Arial" w:ascii="Arial" w:hAnsi="Arial"/>
          <w:b/>
          <w:i w:val="false"/>
          <w:iCs w:val="false"/>
          <w:color w:val="000000"/>
          <w:sz w:val="20"/>
          <w:szCs w:val="20"/>
          <w:lang w:eastAsia="en-US"/>
        </w:rPr>
        <w:t>HOSPITAL MILITAR DE RESENDE</w:t>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eastAsia="Calibri" w:cs="Arial" w:ascii="Arial" w:hAnsi="Arial"/>
          <w:bCs/>
          <w:i w:val="false"/>
          <w:iCs w:val="false"/>
          <w:color w:val="000000"/>
          <w:sz w:val="20"/>
          <w:szCs w:val="20"/>
          <w:lang w:eastAsia="en-US"/>
        </w:rPr>
        <w:t>65362.000697/2026-01</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color w:val="000000"/>
          <w:sz w:val="20"/>
          <w:szCs w:val="20"/>
          <w:lang w:eastAsia="en-US"/>
        </w:rPr>
        <w:t xml:space="preserve"> </w:t>
      </w:r>
      <w:r>
        <w:rPr>
          <w:rFonts w:eastAsia="Calibri" w:cs="Arial" w:ascii="Arial" w:hAnsi="Arial"/>
          <w:i/>
          <w:iCs/>
          <w:color w:val="FF0000"/>
          <w:sz w:val="20"/>
          <w:szCs w:val="20"/>
          <w:lang w:eastAsia="en-US"/>
        </w:rPr>
        <w:t>XX</w:t>
      </w:r>
      <w:r>
        <w:rPr>
          <w:rFonts w:eastAsia="Calibri" w:cs="Arial" w:ascii="Arial" w:hAnsi="Arial"/>
          <w:color w:val="000000"/>
          <w:sz w:val="20"/>
          <w:szCs w:val="20"/>
          <w:lang w:eastAsia="en-US"/>
        </w:rPr>
        <w:t>/</w:t>
      </w:r>
      <w:r>
        <w:rPr>
          <w:rFonts w:eastAsia="Calibri" w:cs="Arial" w:ascii="Arial" w:hAnsi="Arial"/>
          <w:i/>
          <w:iCs/>
          <w:color w:val="FF0000"/>
          <w:sz w:val="20"/>
          <w:szCs w:val="20"/>
          <w:lang w:eastAsia="en-US"/>
        </w:rPr>
        <w:t>XXXX</w:t>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eastAsia="Arial" w:cs="Arial" w:ascii="Arial" w:hAnsi="Arial"/>
          <w:sz w:val="20"/>
          <w:szCs w:val="20"/>
        </w:rPr>
        <w:t xml:space="preserve">O Hospital Militar de Resende, com sede no(a) na Rodovia Presidente Dutra, km 312, Resende/RJ – CEP 27534-970, inscrito no CNPJ/MF sob o nº 09.625.665/0001-65 (CNPJ SECUNDÁRIO para emissão de nota fiscal 09.625.665/0002-46), neste ato representado(a)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w:t>
      </w:r>
      <w:r>
        <w:rPr>
          <w:rFonts w:cs="Arial" w:ascii="Arial" w:hAnsi="Arial"/>
          <w:sz w:val="20"/>
          <w:szCs w:val="20"/>
        </w:rPr>
        <w:t xml:space="preserve"> </w:t>
      </w:r>
      <w:r>
        <w:rPr>
          <w:rFonts w:cs="Arial" w:ascii="Arial" w:hAnsi="Arial"/>
          <w:color w:val="000000"/>
          <w:sz w:val="20"/>
          <w:szCs w:val="20"/>
          <w:shd w:fill="auto" w:val="clear"/>
        </w:rPr>
        <w:t xml:space="preserve">considerando o julgamento da </w:t>
      </w:r>
      <w:r>
        <w:rPr>
          <w:rFonts w:cs="Arial" w:ascii="Arial" w:hAnsi="Arial"/>
          <w:i/>
          <w:iCs/>
          <w:color w:val="000000"/>
          <w:sz w:val="20"/>
          <w:szCs w:val="20"/>
          <w:shd w:fill="auto" w:val="clear"/>
        </w:rPr>
        <w:t>licitação na modalidade de pregão, na forma eletrônica</w:t>
      </w:r>
      <w:r>
        <w:rPr>
          <w:rFonts w:cs="Arial" w:ascii="Arial" w:hAnsi="Arial"/>
          <w:color w:val="000000"/>
          <w:sz w:val="20"/>
          <w:szCs w:val="20"/>
          <w:shd w:fill="auto" w:val="clear"/>
        </w:rPr>
        <w:t>, para REGISTRO DE PREÇOS nº 90004/2026</w:t>
      </w:r>
      <w:r>
        <w:rPr>
          <w:rFonts w:cs="Arial" w:ascii="Arial" w:hAnsi="Arial"/>
          <w:sz w:val="20"/>
          <w:szCs w:val="20"/>
          <w:highlight w:val="yellow"/>
        </w:rPr>
        <w:t>, publicada no ...... de ...../...../202.....,</w:t>
      </w:r>
      <w:r>
        <w:rPr>
          <w:rFonts w:cs="Arial" w:ascii="Arial" w:hAnsi="Arial"/>
          <w:sz w:val="20"/>
          <w:szCs w:val="20"/>
        </w:rPr>
        <w:t xml:space="preserve"> processo administrativo n.º </w:t>
      </w:r>
      <w:r>
        <w:rPr>
          <w:rFonts w:eastAsia="Calibri" w:cs="Arial" w:ascii="Arial" w:hAnsi="Arial"/>
          <w:bCs/>
          <w:i w:val="false"/>
          <w:iCs w:val="false"/>
          <w:color w:val="000000"/>
          <w:sz w:val="20"/>
          <w:szCs w:val="20"/>
          <w:lang w:eastAsia="en-US"/>
        </w:rPr>
        <w:t>65362.015349/2025-49</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w:t>
      </w:r>
      <w:r>
        <w:rPr>
          <w:rFonts w:cs="Arial" w:ascii="Arial" w:hAnsi="Arial"/>
          <w:color w:val="000000"/>
          <w:sz w:val="20"/>
          <w:szCs w:val="20"/>
        </w:rPr>
        <w:t xml:space="preserve">no </w:t>
      </w:r>
      <w:r>
        <w:rPr>
          <w:rFonts w:cs="Arial" w:ascii="Arial" w:hAnsi="Arial"/>
          <w:i/>
          <w:iCs/>
          <w:color w:val="000000"/>
          <w:sz w:val="20"/>
          <w:szCs w:val="20"/>
        </w:rPr>
        <w:t>Edital de licitação</w:t>
      </w:r>
      <w:r>
        <w:rPr>
          <w:rFonts w:cs="Arial" w:ascii="Arial" w:hAnsi="Arial"/>
          <w:color w:val="000000"/>
          <w:sz w:val="20"/>
          <w:szCs w:val="20"/>
        </w:rPr>
        <w:t>, sujeitando-se as partes às normas constantes na Lei nº 14.133, de 1º de abril de 2021, no Decreto n.º 11.4</w:t>
      </w:r>
      <w:r>
        <w:rPr>
          <w:rFonts w:cs="Arial" w:ascii="Arial" w:hAnsi="Arial"/>
          <w:sz w:val="20"/>
          <w:szCs w:val="20"/>
        </w:rPr>
        <w:t>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aquisição de gás liquefeito de petróleo, especificado(s) no(s) item(ns) </w:t>
      </w:r>
      <w:r>
        <w:rPr/>
        <w:t>2.1</w:t>
      </w:r>
      <w:r>
        <w:rPr>
          <w:i/>
          <w:iCs/>
          <w:color w:val="FF0000"/>
        </w:rPr>
        <w:t xml:space="preserve"> </w:t>
      </w:r>
      <w:r>
        <w:rPr/>
        <w:t>do Termo de Referência, anex</w:t>
      </w:r>
      <w:r>
        <w:rPr>
          <w:color w:val="000000"/>
        </w:rPr>
        <w:t xml:space="preserve">o </w:t>
      </w:r>
      <w:r>
        <w:rPr>
          <w:i/>
          <w:iCs/>
          <w:color w:val="000000"/>
        </w:rPr>
        <w:t>I</w:t>
      </w:r>
      <w:r>
        <w:rPr>
          <w:i/>
          <w:iCs/>
          <w:color w:val="FF0000"/>
        </w:rPr>
        <w:t xml:space="preserve"> </w:t>
      </w:r>
      <w:r>
        <w:rPr>
          <w:iCs/>
        </w:rPr>
        <w:t>do</w:t>
      </w:r>
      <w:r>
        <w:rPr>
          <w:i/>
          <w:color w:val="000000"/>
        </w:rPr>
        <w:t xml:space="preserve"> edital de licitação  </w:t>
      </w:r>
      <w:r>
        <w:rPr>
          <w:color w:val="000000"/>
        </w:rPr>
        <w:t xml:space="preserve">n.º </w:t>
      </w:r>
      <w:r>
        <w:rPr>
          <w:bCs/>
          <w:i/>
          <w:iCs/>
          <w:color w:val="000000"/>
        </w:rPr>
        <w:t>90003/2026</w:t>
      </w:r>
      <w:r>
        <w:rPr>
          <w:color w:val="000000"/>
        </w:rPr>
        <w:t>,</w:t>
      </w:r>
      <w:r>
        <w:rPr/>
        <w:t xml:space="preserve">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t>O órgão gerenciador será o HOSPITAL MILITAR DE RESENDE.</w:t>
      </w:r>
    </w:p>
    <w:p>
      <w:pPr>
        <w:pStyle w:val="Nvel2-Red"/>
        <w:numPr>
          <w:ilvl w:val="0"/>
          <w:numId w:val="0"/>
        </w:numPr>
        <w:ind w:hanging="0" w:left="0"/>
        <w:rPr/>
      </w:pPr>
      <w:r>
        <w:rPr/>
      </w:r>
    </w:p>
    <w:p>
      <w:pPr>
        <w:pStyle w:val="Nivel01"/>
        <w:numPr>
          <w:ilvl w:val="0"/>
          <w:numId w:val="1"/>
        </w:numPr>
        <w:ind w:hanging="0" w:left="0"/>
        <w:rPr>
          <w:i/>
          <w:i/>
          <w:color w:val="FF0000"/>
        </w:rPr>
      </w:pPr>
      <w:r>
        <w:rPr/>
        <w:t>DA ADESÃO À ATA DE REGISTRO DE PREÇOS</w:t>
      </w:r>
    </w:p>
    <w:p>
      <w:pPr>
        <w:pStyle w:val="Ou"/>
        <w:rPr/>
      </w:pPr>
      <w:r>
        <w:rPr/>
      </w:r>
    </w:p>
    <w:p>
      <w:pPr>
        <w:pStyle w:val="Nvel2-Red"/>
        <w:numPr>
          <w:ilvl w:val="1"/>
          <w:numId w:val="1"/>
        </w:numPr>
        <w:ind w:hanging="0" w:left="0"/>
        <w:rPr>
          <w:i w:val="false"/>
          <w:i w:val="false"/>
          <w:iCs w:val="false"/>
          <w:color w:val="000000"/>
        </w:rPr>
      </w:pPr>
      <w:r>
        <w:rPr>
          <w:i w:val="false"/>
          <w:iCs w:val="false"/>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i w:val="false"/>
          <w:i w:val="false"/>
          <w:iCs w:val="false"/>
          <w:color w:val="000000"/>
        </w:rPr>
      </w:pPr>
      <w:r>
        <w:rPr>
          <w:i w:val="false"/>
          <w:iCs w:val="false"/>
          <w:color w:val="000000"/>
        </w:rPr>
        <w:t>apresentação de justificativa da vantagem da adesão, inclusive em situações de provável desabastecimento ou descontinuidade de serviço público;</w:t>
      </w:r>
    </w:p>
    <w:p>
      <w:pPr>
        <w:pStyle w:val="Nvel3-R"/>
        <w:numPr>
          <w:ilvl w:val="2"/>
          <w:numId w:val="1"/>
        </w:numPr>
        <w:ind w:hanging="0" w:left="284"/>
        <w:rPr>
          <w:i w:val="false"/>
          <w:i w:val="false"/>
          <w:iCs w:val="false"/>
          <w:color w:val="000000"/>
        </w:rPr>
      </w:pPr>
      <w:r>
        <w:rPr>
          <w:i w:val="false"/>
          <w:iCs w:val="false"/>
          <w:color w:val="000000"/>
        </w:rPr>
        <w:t xml:space="preserve"> </w:t>
      </w:r>
      <w:r>
        <w:rPr>
          <w:i w:val="false"/>
          <w:iCs w:val="false"/>
          <w:color w:val="000000"/>
        </w:rPr>
        <w:t>demonstração de que os valores registrados estão compatíveis com os valores praticados pelo mercado na forma do art. 23 da Lei nº 14.133, de 2021; e</w:t>
      </w:r>
    </w:p>
    <w:p>
      <w:pPr>
        <w:pStyle w:val="Nvel3-R"/>
        <w:numPr>
          <w:ilvl w:val="2"/>
          <w:numId w:val="1"/>
        </w:numPr>
        <w:ind w:hanging="0" w:left="284"/>
        <w:rPr>
          <w:i w:val="false"/>
          <w:i w:val="false"/>
          <w:iCs w:val="false"/>
          <w:color w:val="000000"/>
        </w:rPr>
      </w:pPr>
      <w:r>
        <w:rPr>
          <w:i w:val="false"/>
          <w:iCs w:val="false"/>
          <w:color w:val="000000"/>
        </w:rPr>
        <w:t xml:space="preserve"> </w:t>
      </w:r>
      <w:r>
        <w:rPr>
          <w:i w:val="false"/>
          <w:iCs w:val="false"/>
          <w:color w:val="000000"/>
        </w:rPr>
        <w:t>consulta e aceitação prévias do órgão ou da entidade gerenciadora e do fornecedor.</w:t>
      </w:r>
    </w:p>
    <w:p>
      <w:pPr>
        <w:pStyle w:val="Nvel2-Red"/>
        <w:numPr>
          <w:ilvl w:val="1"/>
          <w:numId w:val="1"/>
        </w:numPr>
        <w:ind w:hanging="0" w:left="0"/>
        <w:rPr>
          <w:i w:val="false"/>
          <w:i w:val="false"/>
          <w:iCs w:val="false"/>
          <w:color w:val="000000"/>
        </w:rPr>
      </w:pPr>
      <w:r>
        <w:rPr>
          <w:i w:val="false"/>
          <w:iCs w:val="false"/>
          <w:color w:val="000000"/>
        </w:rPr>
        <w:t>A autorização do órgão ou entidade gerenciadora apenas será realizada após a aceitação da adesão pelo fornecedor.</w:t>
      </w:r>
    </w:p>
    <w:p>
      <w:pPr>
        <w:pStyle w:val="Nvel3-R"/>
        <w:numPr>
          <w:ilvl w:val="2"/>
          <w:numId w:val="1"/>
        </w:numPr>
        <w:ind w:hanging="0" w:left="284"/>
        <w:rPr>
          <w:i w:val="false"/>
          <w:i w:val="false"/>
          <w:iCs w:val="false"/>
          <w:color w:val="000000"/>
        </w:rPr>
      </w:pPr>
      <w:r>
        <w:rPr>
          <w:i w:val="false"/>
          <w:iCs w:val="false"/>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i w:val="false"/>
          <w:i w:val="false"/>
          <w:iCs w:val="false"/>
          <w:color w:val="000000"/>
        </w:rPr>
      </w:pPr>
      <w:r>
        <w:rPr>
          <w:i w:val="false"/>
          <w:iCs w:val="false"/>
          <w:color w:val="000000"/>
        </w:rPr>
        <w:t xml:space="preserve"> </w:t>
      </w:r>
      <w:r>
        <w:rPr>
          <w:i w:val="false"/>
          <w:iCs w:val="false"/>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i w:val="false"/>
          <w:i w:val="false"/>
          <w:iCs w:val="false"/>
          <w:color w:val="000000"/>
        </w:rPr>
      </w:pPr>
      <w:r>
        <w:rPr>
          <w:i w:val="false"/>
          <w:iCs w:val="false"/>
          <w:color w:val="000000"/>
        </w:rPr>
        <w:t xml:space="preserve"> </w:t>
      </w:r>
      <w:r>
        <w:rPr>
          <w:i w:val="false"/>
          <w:iCs w:val="false"/>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i w:val="false"/>
          <w:i w:val="false"/>
          <w:iCs w:val="false"/>
          <w:color w:val="000000"/>
        </w:rPr>
      </w:pPr>
      <w:r>
        <w:rPr>
          <w:i w:val="false"/>
          <w:iCs w:val="false"/>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i w:val="false"/>
          <w:i w:val="false"/>
          <w:iCs w:val="false"/>
          <w:color w:val="000000"/>
        </w:rPr>
      </w:pPr>
      <w:r>
        <w:rPr>
          <w:i w:val="false"/>
          <w:iCs w:val="false"/>
          <w:color w:val="000000"/>
        </w:rPr>
        <w:t>Dos limites para as adesões</w:t>
      </w:r>
    </w:p>
    <w:p>
      <w:pPr>
        <w:pStyle w:val="Nvel2-Red"/>
        <w:numPr>
          <w:ilvl w:val="1"/>
          <w:numId w:val="1"/>
        </w:numPr>
        <w:ind w:hanging="0" w:left="0"/>
        <w:rPr>
          <w:i w:val="false"/>
          <w:i w:val="false"/>
          <w:iCs w:val="false"/>
          <w:color w:val="000000"/>
        </w:rPr>
      </w:pPr>
      <w:bookmarkStart w:id="0" w:name="_Ref214354774"/>
      <w:r>
        <w:rPr>
          <w:i w:val="false"/>
          <w:iCs w:val="false"/>
          <w:color w:val="000000"/>
        </w:rPr>
        <w:t>As aquisições ou contratações adicionais não poderão exceder, por órgão ou entidade, a cinquenta por cento dos quantitativos dos itens do instrumento convocatórios registrados na ata de registro de preços para o gerenciador e para os participantes.</w:t>
      </w:r>
      <w:bookmarkEnd w:id="0"/>
    </w:p>
    <w:p>
      <w:pPr>
        <w:pStyle w:val="Nvel2-Red"/>
        <w:numPr>
          <w:ilvl w:val="1"/>
          <w:numId w:val="1"/>
        </w:numPr>
        <w:ind w:hanging="0" w:left="0"/>
        <w:rPr>
          <w:i w:val="false"/>
          <w:i w:val="false"/>
          <w:iCs w:val="false"/>
          <w:color w:val="000000"/>
        </w:rPr>
      </w:pPr>
      <w:r>
        <w:rPr>
          <w:i w:val="false"/>
          <w:iCs w:val="false"/>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i w:val="false"/>
          <w:i w:val="false"/>
          <w:iCs w:val="false"/>
          <w:color w:val="000000"/>
        </w:rPr>
      </w:pPr>
      <w:r>
        <w:rPr>
          <w:i w:val="false"/>
          <w:iCs w:val="false"/>
          <w:color w:val="000000"/>
        </w:rPr>
        <w:t>Para aquisição emergencial de medicamentos e material de consumo médico-hospitalar por órgãos e en</w:t>
      </w:r>
      <w:r>
        <w:rPr>
          <w:rFonts w:eastAsia="Arial"/>
          <w:i w:val="false"/>
          <w:iCs w:val="false"/>
          <w:color w:val="000000"/>
        </w:rPr>
        <w:t>ti</w:t>
      </w:r>
      <w:r>
        <w:rPr>
          <w:i w:val="false"/>
          <w:iCs w:val="false"/>
          <w:color w:val="000000"/>
        </w:rPr>
        <w:t>dades da Administração Pública federal, estadual, distrital e municipal, a adesão à ata de registro de preços gerenciada pelo Ministério da Saúde não estará sujeita ao limite previsto no item 4.7.</w:t>
      </w:r>
    </w:p>
    <w:p>
      <w:pPr>
        <w:pStyle w:val="Nvel2-Red"/>
        <w:numPr>
          <w:ilvl w:val="1"/>
          <w:numId w:val="1"/>
        </w:numPr>
        <w:ind w:hanging="0" w:left="0"/>
        <w:rPr>
          <w:i w:val="false"/>
          <w:i w:val="false"/>
          <w:iCs w:val="false"/>
          <w:color w:val="000000"/>
        </w:rPr>
      </w:pPr>
      <w:r>
        <w:rPr>
          <w:i w:val="false"/>
          <w:iCs w:val="false"/>
          <w:color w:val="000000"/>
        </w:rPr>
        <w:t>A adesão à ata de registro de preços por órgãos e en</w:t>
      </w:r>
      <w:r>
        <w:rPr>
          <w:rFonts w:eastAsia="Arial"/>
          <w:i w:val="false"/>
          <w:iCs w:val="false"/>
          <w:color w:val="000000"/>
        </w:rPr>
        <w:t>ti</w:t>
      </w:r>
      <w:r>
        <w:rPr>
          <w:i w:val="false"/>
          <w:iCs w:val="false"/>
          <w:color w:val="000000"/>
        </w:rPr>
        <w:t xml:space="preserve">dades da Administração Pública estadual, distrital e municipal poderá ser exigida para fins de transferências voluntárias, não ficando sujeita ao limite de que trata o item </w:t>
      </w:r>
      <w:r>
        <w:rPr>
          <w:i w:val="false"/>
          <w:iCs w:val="false"/>
          <w:color w:val="000000"/>
        </w:rPr>
        <w:fldChar w:fldCharType="begin"/>
      </w:r>
      <w:r>
        <w:rPr>
          <w:i w:val="false"/>
          <w:iCs w:val="false"/>
          <w:color w:val="000000"/>
        </w:rPr>
        <w:instrText xml:space="preserve"> REF _Ref214354774 \r \r \h </w:instrText>
      </w:r>
      <w:r>
        <w:rPr>
          <w:i w:val="false"/>
          <w:iCs w:val="false"/>
          <w:color w:val="000000"/>
        </w:rPr>
        <w:fldChar w:fldCharType="separate"/>
      </w:r>
      <w:r>
        <w:rPr>
          <w:i w:val="false"/>
          <w:iCs w:val="false"/>
          <w:color w:val="000000"/>
        </w:rPr>
        <w:t>4.6</w:t>
      </w:r>
      <w:r>
        <w:rPr>
          <w:i w:val="false"/>
          <w:iCs w:val="false"/>
          <w:color w:val="000000"/>
        </w:rPr>
        <w:fldChar w:fldCharType="end"/>
      </w:r>
      <w:r>
        <w:rPr>
          <w:i w:val="false"/>
          <w:iCs w:val="false"/>
          <w:color w:val="000000"/>
        </w:rPr>
        <w:t>, desde que seja des</w:t>
      </w:r>
      <w:r>
        <w:rPr>
          <w:rFonts w:eastAsia="Arial"/>
          <w:i w:val="false"/>
          <w:iCs w:val="false"/>
          <w:color w:val="000000"/>
        </w:rPr>
        <w:t>ti</w:t>
      </w:r>
      <w:r>
        <w:rPr>
          <w:i w:val="false"/>
          <w:iCs w:val="false"/>
          <w:color w:val="000000"/>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 xml:space="preserve">A validade da Ata de Registro de Preços será de 1 (um) ano, contado a </w:t>
      </w:r>
      <w:commentRangeStart w:id="5"/>
      <w:r>
        <w:rPr/>
        <w:t>partir</w:t>
      </w:r>
      <w:r>
        <w:rPr/>
      </w:r>
      <w:commentRangeEnd w:id="5"/>
      <w:r>
        <w:commentReference w:id="5"/>
      </w:r>
      <w:r>
        <w:rPr/>
        <w:t xml:space="preserve"> do primeiro dia útil subsequente à data de divulgação no PNCP, </w:t>
      </w:r>
      <w:r>
        <w:rPr>
          <w:color w:val="000000"/>
        </w:rPr>
        <w:t>podendo ser prorrogada por igual período, mediante a anuência do fornecedor, desde que comprovado o preço vantajoso.</w:t>
      </w:r>
    </w:p>
    <w:p>
      <w:pPr>
        <w:pStyle w:val="Nvel3-R"/>
        <w:numPr>
          <w:ilvl w:val="2"/>
          <w:numId w:val="1"/>
        </w:numPr>
        <w:ind w:hanging="0" w:left="284"/>
        <w:rPr>
          <w:rFonts w:eastAsia="" w:eastAsiaTheme="minorEastAsia"/>
          <w:i w:val="false"/>
          <w:i w:val="false"/>
          <w:iCs w:val="false"/>
          <w:color w:val="000000"/>
          <w:highlight w:val="none"/>
          <w:shd w:fill="auto" w:val="clear"/>
        </w:rPr>
      </w:pPr>
      <w:commentRangeStart w:id="6"/>
      <w:r>
        <w:rPr>
          <w:rFonts w:eastAsia="" w:eastAsiaTheme="minorEastAsia"/>
          <w:i w:val="false"/>
          <w:iCs w:val="false"/>
          <w:color w:val="000000"/>
          <w:shd w:fill="auto" w:val="clear"/>
        </w:rPr>
        <w:t>Em caso de prorrogação da ata, poderá ser renovado o quantitativo originalmente registrado.</w:t>
      </w:r>
      <w:commentRangeEnd w:id="6"/>
      <w:r>
        <w:commentReference w:id="6"/>
      </w:r>
      <w:r>
        <w:rPr>
          <w:rFonts w:eastAsia="" w:eastAsiaTheme="minorEastAsia"/>
          <w:i w:val="false"/>
          <w:iCs w:val="false"/>
          <w:color w:val="000000"/>
          <w:shd w:fill="auto" w:val="clear"/>
        </w:rPr>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val="false"/>
          <w:iCs w:val="false"/>
          <w:color w:val="000000"/>
        </w:rPr>
        <w:t xml:space="preserve">edital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1" w:name="cadastro_reserva"/>
      <w:bookmarkEnd w:id="1"/>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w:t>
      </w:r>
      <w:r>
        <w:rPr>
          <w:i/>
          <w:iCs/>
        </w:rPr>
        <w:t xml:space="preserve"> </w:t>
      </w:r>
      <w:r>
        <w:rPr>
          <w:i w:val="false"/>
          <w:iCs w:val="false"/>
          <w:color w:val="000000"/>
        </w:rPr>
        <w:t>edital;</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observando o item </w:t>
      </w:r>
      <w:r>
        <w:rPr/>
        <w:fldChar w:fldCharType="begin"/>
      </w:r>
      <w:r>
        <w:rPr/>
        <w:instrText xml:space="preserve"> REF habilitacao_reserva \r \r \h </w:instrText>
      </w:r>
      <w:r>
        <w:rPr/>
        <w:fldChar w:fldCharType="separate"/>
      </w:r>
      <w:r>
        <w:rPr/>
        <w:t>Erro: Origem da referência não encontrada</w:t>
      </w:r>
      <w:r>
        <w:rPr/>
        <w:fldChar w:fldCharType="end"/>
      </w:r>
      <w:r>
        <w:rPr/>
        <w:t xml:space="preserve">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val="false"/>
          <w:iCs w:val="false"/>
          <w:color w:val="000000"/>
        </w:rPr>
        <w:t>edital,</w:t>
      </w:r>
      <w:r>
        <w:rPr/>
        <w:t xml:space="preserve">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w:t>
      </w:r>
      <w:commentRangeStart w:id="7"/>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7"/>
      <w:r>
        <w:commentReference w:id="7"/>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Na hipótese prevista no item anterior, o gerenciador convocará os fornecedores do cadastro de reserva, na ordem de classificação, para verificar se aceitam reduzir seus preços aos valores de mercado e não convocará o</w:t>
      </w:r>
      <w:commentRangeStart w:id="8"/>
      <w:r>
        <w:rPr/>
        <w:t>s licitantes ou fornecedores que tiveram seu registro cancelado.</w:t>
      </w:r>
      <w:r>
        <w:rPr/>
      </w:r>
      <w:commentRangeEnd w:id="8"/>
      <w:r>
        <w:commentReference w:id="8"/>
      </w:r>
      <w:r>
        <w:rPr/>
        <w:t xml:space="preserve">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9"/>
      <w:r>
        <w:rPr/>
        <w:t>REMANEJAMENTO DAS QUANTIDADES REGISTRADAS NA ATA DE REGISTRO DE PREÇOS</w:t>
      </w:r>
      <w:commentRangeEnd w:id="9"/>
      <w:r>
        <w:commentReference w:id="9"/>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10"/>
      <w:r>
        <w:rPr/>
        <w:t>art. 32 do Decreto nº 11.462, de 2023</w:t>
      </w:r>
      <w:r>
        <w:rPr/>
      </w:r>
      <w:commentRangeEnd w:id="10"/>
      <w:r>
        <w:commentReference w:id="10"/>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6" w:name="cancelamento"/>
      <w:bookmarkEnd w:id="6"/>
    </w:p>
    <w:p>
      <w:pPr>
        <w:pStyle w:val="Nivel2"/>
        <w:numPr>
          <w:ilvl w:val="1"/>
          <w:numId w:val="1"/>
        </w:numPr>
        <w:ind w:hanging="0" w:left="0"/>
        <w:rPr/>
      </w:pPr>
      <w:r>
        <w:rPr/>
        <w:t>O registro do fornecedor será cancelado pelo gerenciador, quando o fornecedor:</w:t>
      </w:r>
      <w:bookmarkStart w:id="7" w:name="cancelamento_do_fornecedor"/>
      <w:bookmarkEnd w:id="7"/>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Se não houver êxito nas negociações, nas hipóteses em que o preço de mercado tornar-se superior ou inferior ao preço registrado, nos termos do</w:t>
      </w:r>
      <w:r>
        <w:rPr/>
        <w:t>s</w:t>
      </w:r>
      <w:r>
        <w:rPr/>
        <w:t xml:space="preserve">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w:t>
      </w:r>
      <w:r>
        <w:rPr>
          <w:i/>
        </w:rPr>
        <w:t xml:space="preserve"> </w:t>
      </w:r>
      <w:r>
        <w:rPr>
          <w:i w:val="false"/>
          <w:iCs w:val="false"/>
          <w:color w:val="000000"/>
        </w:rPr>
        <w:t>edital.</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11"/>
      <w:r>
        <w:rPr/>
        <w:t>injustificadamente</w:t>
      </w:r>
      <w:r>
        <w:rPr/>
      </w:r>
      <w:commentRangeEnd w:id="11"/>
      <w:r>
        <w:commentReference w:id="11"/>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val="false"/>
          <w:iCs w:val="false"/>
          <w:color w:val="000000"/>
        </w:rPr>
        <w:t>edital.</w:t>
      </w:r>
    </w:p>
    <w:p>
      <w:pPr>
        <w:pStyle w:val="Nvel2-Red"/>
        <w:numPr>
          <w:ilvl w:val="0"/>
          <w:numId w:val="0"/>
        </w:numPr>
        <w:ind w:hanging="0" w:left="0"/>
        <w:rPr/>
      </w:pPr>
      <w:r>
        <w:rPr/>
      </w:r>
    </w:p>
    <w:p>
      <w:pPr>
        <w:pStyle w:val="Normal"/>
        <w:widowControl w:val="false"/>
        <w:spacing w:lineRule="auto" w:line="276" w:before="120" w:after="120"/>
        <w:jc w:val="both"/>
        <w:rPr>
          <w:i w:val="false"/>
          <w:i w:val="false"/>
          <w:iCs w:val="false"/>
          <w:color w:val="000000"/>
        </w:rPr>
      </w:pPr>
      <w:r>
        <w:rPr>
          <w:rFonts w:cs="Arial" w:ascii="Arial" w:hAnsi="Arial"/>
          <w:i w:val="false"/>
          <w:iCs w:val="false"/>
          <w:color w:val="000000"/>
          <w:sz w:val="20"/>
          <w:szCs w:val="20"/>
        </w:rPr>
        <w:t>Para firmeza e validade do pactuado, a presente Ata foi lavrada em 02 (duas) vias de igual teor, que, depois de lida e achada em ordem, vai assinada pelas partes.</w:t>
      </w:r>
    </w:p>
    <w:p>
      <w:pPr>
        <w:pStyle w:val="Normal"/>
        <w:widowControl w:val="false"/>
        <w:spacing w:lineRule="auto" w:line="276" w:before="120" w:after="120"/>
        <w:jc w:val="both"/>
        <w:rPr>
          <w:rFonts w:ascii="Arial" w:hAnsi="Arial" w:cs="Arial"/>
          <w:sz w:val="20"/>
          <w:szCs w:val="20"/>
        </w:rPr>
      </w:pPr>
      <w:r>
        <w:rPr>
          <w:i w:val="false"/>
          <w:iCs w:val="false"/>
          <w:color w:val="000000"/>
        </w:rPr>
      </w:r>
    </w:p>
    <w:p>
      <w:pPr>
        <w:pStyle w:val="Normal"/>
        <w:widowControl w:val="false"/>
        <w:spacing w:lineRule="auto" w:line="276" w:before="120" w:after="120"/>
        <w:jc w:val="right"/>
        <w:rPr>
          <w:i w:val="false"/>
          <w:i w:val="false"/>
          <w:iCs w:val="false"/>
          <w:color w:val="000000"/>
        </w:rPr>
      </w:pPr>
      <w:r>
        <w:rPr>
          <w:rFonts w:cs="Arial" w:ascii="Arial" w:hAnsi="Arial"/>
          <w:i w:val="false"/>
          <w:iCs w:val="false"/>
          <w:color w:val="000000"/>
          <w:sz w:val="20"/>
          <w:szCs w:val="20"/>
        </w:rPr>
        <w:t>Resende/RJ, na data da assinatura digital.</w:t>
      </w:r>
    </w:p>
    <w:p>
      <w:pPr>
        <w:pStyle w:val="Normal"/>
        <w:widowControl w:val="false"/>
        <w:spacing w:lineRule="auto" w:line="360"/>
        <w:ind w:right="-30"/>
        <w:jc w:val="center"/>
        <w:rPr>
          <w:rFonts w:ascii="Arial" w:hAnsi="Arial" w:cs="Arial"/>
          <w:sz w:val="20"/>
          <w:szCs w:val="20"/>
        </w:rPr>
      </w:pPr>
      <w:r>
        <w:rPr/>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before="0" w:after="0"/>
        <w:ind w:right="-30"/>
        <w:jc w:val="center"/>
        <w:rPr>
          <w:rFonts w:ascii="Arial" w:hAnsi="Arial" w:cs="Arial"/>
          <w:color w:val="000000"/>
          <w:sz w:val="20"/>
          <w:szCs w:val="20"/>
        </w:rPr>
      </w:pPr>
      <w:commentRangeStart w:id="12"/>
      <w:r>
        <w:rPr>
          <w:rFonts w:cs="Arial" w:ascii="Arial" w:hAnsi="Arial"/>
          <w:color w:val="000000"/>
          <w:sz w:val="20"/>
          <w:szCs w:val="20"/>
        </w:rPr>
        <w:t>Anexo</w:t>
      </w:r>
      <w:commentRangeEnd w:id="12"/>
      <w:r>
        <w:commentReference w:id="12"/>
      </w: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footerReference w:type="even" r:id="rId3"/>
      <w:footerReference w:type="default" r:id="rId4"/>
      <w:footerReference w:type="first" r:id="rId5"/>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color w:themeColor="text1" w:val="000000"/>
          <w:lang w:val="en-US" w:eastAsia="en-US" w:bidi="en-US"/>
        </w:rPr>
        <w:t>Nota Explicativa:</w:t>
      </w:r>
      <w:r>
        <w:rPr>
          <w:rFonts w:ascii="Liberation Serif" w:hAnsi="Liberation Serif" w:eastAsia="Segoe UI"/>
          <w:color w:themeColor="text1" w:val="000000"/>
          <w:lang w:val="en-US" w:eastAsia="en-US" w:bidi="en-US"/>
        </w:rPr>
        <w:t xml:space="preserve"> </w:t>
      </w:r>
      <w:r>
        <w:rPr>
          <w:rFonts w:ascii="Liberation Serif" w:hAnsi="Liberation Serif" w:eastAsia="Segoe UI"/>
          <w:i/>
          <w:iCs/>
          <w:color w:themeColor="text1"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themeColor="text1" w:val="000000"/>
          <w:lang w:val="en-US" w:eastAsia="en-US" w:bidi="en-US"/>
        </w:rPr>
        <w:t>. (§ 4º, art. 18 do Decreto Nº11.462, de 2023.)</w:t>
      </w:r>
    </w:p>
  </w:comment>
  <w:comment w:id="1"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pPr>
        <w:overflowPunct w:val="false"/>
        <w:rPr/>
      </w:pPr>
      <w:r>
        <w:rPr>
          <w:rFonts w:ascii="Liberation Serif" w:hAnsi="Liberation Serif" w:eastAsia="Segoe UI"/>
          <w:lang w:val="en-US" w:eastAsia="en-US" w:bidi="en-US"/>
        </w:rPr>
        <w:t>I - quando for a primeira licitação para o objeto e o órgão ou entidade não tiver registro de demandas anteriores;</w:t>
      </w:r>
    </w:p>
    <w:p>
      <w:pPr>
        <w:overflowPunct w:val="false"/>
        <w:rPr/>
      </w:pPr>
      <w:r>
        <w:rPr>
          <w:rFonts w:ascii="Liberation Serif" w:hAnsi="Liberation Serif" w:eastAsia="Segoe UI"/>
          <w:lang w:val="en-US" w:eastAsia="en-US" w:bidi="en-US"/>
        </w:rPr>
        <w:t>II - no caso de alimento perecível;</w:t>
      </w:r>
    </w:p>
    <w:p>
      <w:pPr>
        <w:overflowPunct w:val="false"/>
        <w:rPr/>
      </w:pPr>
      <w:r>
        <w:rPr>
          <w:rFonts w:ascii="Liberation Serif" w:hAnsi="Liberation Serif" w:eastAsia="Segoe UI"/>
          <w:lang w:val="en-US" w:eastAsia="en-US" w:bidi="en-US"/>
        </w:rPr>
        <w:t>III - no caso em que o serviço estiver integrado ao fornecimento de bens.</w:t>
      </w:r>
    </w:p>
    <w:p>
      <w:pPr>
        <w:overflowPunct w:val="false"/>
        <w:rPr/>
      </w:pPr>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pPr>
        <w:overflowPunct w:val="false"/>
        <w:rPr/>
      </w:pPr>
      <w:r>
        <w:rPr>
          <w:rFonts w:ascii="Liberation Serif" w:hAnsi="Liberation Serif" w:eastAsia="Segoe UI"/>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Segoe UI"/>
          <w:b/>
          <w:color w:themeColor="text1" w:val="000000"/>
          <w:lang w:val="en-US" w:eastAsia="en-US" w:bidi="en-US"/>
        </w:rPr>
        <w:t>Nota Explicativa</w:t>
      </w:r>
      <w:r>
        <w:rPr>
          <w:rFonts w:ascii="Liberation Serif" w:hAnsi="Liberation Serif" w:eastAsia="Segoe UI"/>
          <w:color w:themeColor="text1" w:val="000000"/>
          <w:lang w:val="en-US" w:eastAsia="en-US" w:bidi="en-US"/>
        </w:rPr>
        <w:t>: A listagem deve obedecer a ordem prevista no inciso II e § 2º do art. 18 do Decreto nº 11.462, de 2023.</w:t>
      </w:r>
    </w:p>
  </w:comment>
  <w:comment w:id="4"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6"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7"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8"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10"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date="0-00-00T00:00:00Z" w:initials="A">
    <w:p>
      <w:pPr>
        <w:overflowPunct w:val="false"/>
        <w:rPr/>
      </w:pPr>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Segoe UI"/>
          <w:lang w:val="en-US" w:eastAsia="en-US" w:bidi="en-US"/>
        </w:rPr>
        <w:t>§ 5º A regra do § 4º não se aplicará aos licitantes remanescentes convocados na forma do inciso I do § 3º."</w:t>
      </w:r>
    </w:p>
  </w:comment>
  <w:comment w:id="12"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false"/>
        <w:rPr/>
      </w:pPr>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comments" Target="comment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12</TotalTime>
  <Application>LibreOffice/24.2.1.2$Windows_X86_64 LibreOffice_project/db4def46b0453cc22e2d0305797cf981b68ef5ac</Application>
  <AppVersion>15.0000</AppVersion>
  <Pages>9</Pages>
  <Words>3391</Words>
  <Characters>18734</Characters>
  <CharactersWithSpaces>21885</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2026-04-24T09:42:19Z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